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OBJAŚNIENIA DO WIELOLETNIEJ PROGNOZY FINANSOWEJ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GMINY KAZANÓW NA LATA 2016-2019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I. GŁÓWNE ZAŁOŻENIA DO OPRACOWANIA WPF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 xml:space="preserve">Wieloletnia Prognoza Finansowa obejmuje lata 2016-2019.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 xml:space="preserve">Podstawą do opracowania Prognozy jest wykonanie budżetu na dzień 30 września 2015 roku, oraz założenia prognostyczne ustalone na podstawie analizy kształtowania się źródeł, z których Gmina pozyskuje środki finansowe w ostatnich kilku latach, ustawy o podatkach i opłatach lokalnych oraz uchwał Rady Gminy, podjętych na podstawie w/w ustaw, analiz kształtowania się sytuacji finansowej w ostatnich latach oraz przewidywanych tendencji rozwoju założeń makroekonomicznych podanych przez Ministerstwo Finansów.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>W budżecie roku 2016 przyjęto podane przez Ministra Finansów planowane kwoty poszczególnych części subwencji oraz planowane kwoty dochodów z tytułu udziału we wpływach z podatku dochodowego od osób fizycznych i prawnych. Przez Wojewodę Mazowieckiego kwoty dotacji na zadania z zakresu administracji rządowej oraz dotacji na realizację zadań własnych i dochodów związanych z realizacją zadań z zakresu administracji rządowej, ustalone na podstawie zawartych umów i pism, opłat wynikających z ustaw, odpłatności za realizowane usługi, wynajmu lokali i zarządu nieruchomościami oraz wpływów z różnych dochodów.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>Dochody i wydatki, przychody i rozchody  na rok 2016 przyjęto zgodnie z  uchwałą budżetową na 2016 rok.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16"/>
          <w:szCs w:val="16"/>
        </w:rPr>
        <w:t>W Wieloletniej Prognozie Finansowej Gminy Kazanów na lata 2016-2019  przyjęto następujące wskaźniki makroekonomiczne: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1073"/>
        <w:gridCol w:w="1073"/>
        <w:gridCol w:w="1073"/>
        <w:gridCol w:w="1073"/>
      </w:tblGrid>
      <w:tr w:rsidR="00305AA7" w:rsidRPr="00305AA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Wskaźniki makroekonomiczne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 xml:space="preserve">    2016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 xml:space="preserve">    2017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 xml:space="preserve">   2018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</w:p>
        </w:tc>
      </w:tr>
      <w:tr w:rsidR="00305AA7" w:rsidRPr="00305AA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Inflacja średnioroczna  (%)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05AA7" w:rsidRPr="00305AA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Realny wzrost PKB(%)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II. PROGNOZOWANE DOCHODY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Planowanie dochodów Gminy na okres objęty Prognozą rozpoczęto od analizy dotychczasowych trendów zmian dochodów w ostatnich trzech latach. Następnie skoncentrowano się na źródłach, które generują największe wpływy.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Dochody wg podstawowych  źródeł przedstawia poniższa tabela: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709"/>
        <w:gridCol w:w="1276"/>
        <w:gridCol w:w="1559"/>
        <w:gridCol w:w="1559"/>
        <w:gridCol w:w="1701"/>
      </w:tblGrid>
      <w:tr w:rsidR="00305AA7" w:rsidRPr="00305AA7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Wykonanie za III kw.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Przewidywane wykonanie za 2015r.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Dochody ogółem, z tego: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14.278.531,70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14.358.726,10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11.907.586,35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15.115.000,00</w:t>
            </w:r>
          </w:p>
        </w:tc>
      </w:tr>
      <w:tr w:rsidR="00305AA7" w:rsidRPr="00305AA7"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1451"/>
                <w:tab w:val="left" w:pos="2124"/>
                <w:tab w:val="left" w:pos="2832"/>
                <w:tab w:val="left" w:pos="3436"/>
                <w:tab w:val="left" w:pos="35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105,27</w:t>
            </w:r>
          </w:p>
        </w:tc>
      </w:tr>
      <w:tr w:rsidR="00305AA7" w:rsidRPr="00305AA7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Bieżące, z tego: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14.159.843,24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14.203.561,52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11.172.955,76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14.240.203,00</w:t>
            </w:r>
          </w:p>
        </w:tc>
      </w:tr>
      <w:tr w:rsidR="00305AA7" w:rsidRPr="00305AA7">
        <w:trPr>
          <w:trHeight w:val="2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100,26</w:t>
            </w:r>
          </w:p>
        </w:tc>
      </w:tr>
      <w:tr w:rsidR="00305AA7" w:rsidRPr="00305AA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Udziały w podatku </w:t>
            </w:r>
            <w:proofErr w:type="spellStart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</w:t>
            </w:r>
            <w:proofErr w:type="spellEnd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od osób fizycznych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816.086,00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886.709,00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709.863,00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1.000.125,00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112,79</w:t>
            </w:r>
          </w:p>
        </w:tc>
      </w:tr>
      <w:tr w:rsidR="00305AA7" w:rsidRPr="00305AA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Udziały w podatku </w:t>
            </w:r>
            <w:proofErr w:type="spellStart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</w:t>
            </w:r>
            <w:proofErr w:type="spellEnd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od osób prawnych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2.842,12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3.061,71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1.470,84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3.000,00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97,99</w:t>
            </w:r>
          </w:p>
        </w:tc>
      </w:tr>
      <w:tr w:rsidR="00305AA7" w:rsidRPr="00305A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Podatki i opłaty  z tego: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1.053.400,00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1.092.228,89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861.086,8/4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1.166.200,00</w:t>
            </w:r>
          </w:p>
        </w:tc>
      </w:tr>
      <w:tr w:rsidR="00305AA7" w:rsidRPr="00305AA7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106,78</w:t>
            </w:r>
          </w:p>
        </w:tc>
      </w:tr>
      <w:tr w:rsidR="00305AA7" w:rsidRPr="00305AA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podatku od nieruchomości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754.057,32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336.937,71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271.174,42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368.059,00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109,24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Subwencja ogólna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8.199.138,00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8.163.216,00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6.420.026,00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8.036.818,00</w:t>
            </w:r>
          </w:p>
        </w:tc>
      </w:tr>
      <w:tr w:rsidR="00305AA7" w:rsidRPr="00305AA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98,46</w:t>
            </w:r>
          </w:p>
        </w:tc>
      </w:tr>
      <w:tr w:rsidR="00305AA7" w:rsidRPr="00305AA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Dochody bieżące na programy unijne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111.360,04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77.651,28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05AA7" w:rsidRPr="00305AA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05AA7" w:rsidRPr="00305AA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 tytułu dotacji i środków przeznaczonych na cele bieżące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3.043.606,29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3.336.202,96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2.520.024,75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3.350.100,00</w:t>
            </w:r>
          </w:p>
        </w:tc>
      </w:tr>
      <w:tr w:rsidR="00305AA7" w:rsidRPr="00305AA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5AA7" w:rsidRPr="00305AA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dochody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933.410,79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644.491,68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660.484,33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683.960,00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106,13</w:t>
            </w:r>
          </w:p>
        </w:tc>
      </w:tr>
      <w:tr w:rsidR="00305AA7" w:rsidRPr="00305AA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Dochody majątkowe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tym: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118.688,46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155.164,58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734.630,59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874.797,00</w:t>
            </w:r>
          </w:p>
        </w:tc>
      </w:tr>
      <w:tr w:rsidR="00305AA7" w:rsidRPr="00305AA7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563,79</w:t>
            </w:r>
          </w:p>
        </w:tc>
      </w:tr>
      <w:tr w:rsidR="00305AA7" w:rsidRPr="00305AA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ze sprzedaży majątku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25.776,00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50.000,00</w:t>
            </w:r>
          </w:p>
        </w:tc>
      </w:tr>
      <w:tr w:rsidR="00305AA7" w:rsidRPr="00305AA7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193,98</w:t>
            </w: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>Jak wynika z przedstawionych danych dochody w latach 2013-2015 wykazały tendencje wzrostową Analiza wpływu poszczególnych źródeł dochodów bieżących wskazuje na utrzymywanie się prawidłowości polegającej na tym, że największy udział w dochodach w ciągu ostatnich trzech lat mają: subwencja ogólna, dotacje celowe, udział w podatku dochodowym od osób fizycznych, a także niektóre  podatki i opłaty lokalne. Dochody majątkowe zostaną zrealizowane w przyjętym planie w  około 84%, gdyż wpłata mieszkańców  nadal z zaległości za budowę sieci wodociągowej i kanalizacyjnej słabo wpływa.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>Planowaną na 2016 r subwencję ogólną przyjęto w wysokości podanej przez Ministra Finansów, pismem nr ST3/4750.132.2015  z dnia    12   października 2015r.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t>Subwencja ogólna na rok 2016  wzrosła o 10,46%.  Największy wzrost jest na subwencji wyrównawczej kwota 715.150zł, a na oświatowej 125.296zł.  W  latach 2017 – 2019 zaplanowano subwencję na poziomie planowanych wskaźników  z  uwzględnieniem obowiązujących przepisów</w:t>
      </w: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5"/>
        <w:gridCol w:w="1417"/>
        <w:gridCol w:w="1159"/>
        <w:gridCol w:w="1418"/>
        <w:gridCol w:w="1418"/>
      </w:tblGrid>
      <w:tr w:rsidR="00305AA7" w:rsidRPr="00305A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05AA7" w:rsidRPr="00305A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Subwencja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ogólna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1412"/>
              <w:gridCol w:w="1154"/>
              <w:gridCol w:w="1413"/>
              <w:gridCol w:w="1418"/>
            </w:tblGrid>
            <w:tr w:rsidR="00305AA7" w:rsidRPr="00305AA7">
              <w:tc>
                <w:tcPr>
                  <w:tcW w:w="42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8.900.458,00</w:t>
                  </w:r>
                </w:p>
              </w:tc>
              <w:tc>
                <w:tcPr>
                  <w:tcW w:w="1154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9.028.177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9.181.656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9.337.744</w:t>
                  </w:r>
                </w:p>
              </w:tc>
            </w:tr>
            <w:tr w:rsidR="00305AA7" w:rsidRPr="00305AA7">
              <w:tc>
                <w:tcPr>
                  <w:tcW w:w="420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110,46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101,4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101,7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</w:rPr>
        <w:t>Udziały we wpływach z podatków dochodowych od osób fizycznych i prawnych na rok 2016 przyjęto w wysokości podanej przez Ministra Finansów pismem Nr ST3.4750.132.2015 w kwocie 1.105.451,00 zł  tj. o 10,54% więcej niż w roku 2015 W latach kolejnych wzrost przyjęto na poziomie wykonania za 2015 rok.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Podatek dochodowy od osób prawnych przewidywane wykonanie roku 2015 do planowanego na rok 2016 kształtuje się na takim samym poziomie.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5AA7">
        <w:rPr>
          <w:rFonts w:ascii="Times New Roman" w:hAnsi="Times New Roman" w:cs="Times New Roman"/>
          <w:sz w:val="16"/>
          <w:szCs w:val="16"/>
        </w:rPr>
        <w:lastRenderedPageBreak/>
        <w:t>W latach  następnych  dochody z tytułu podatku dochodowego od osób   fizycznych i prawnych przedstawia poniższa tabela:</w:t>
      </w:r>
    </w:p>
    <w:p w:rsidR="00305AA7" w:rsidRPr="00305AA7" w:rsidRDefault="00305AA7" w:rsidP="00305AA7">
      <w:pPr>
        <w:tabs>
          <w:tab w:val="left" w:pos="284"/>
          <w:tab w:val="left" w:pos="709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6"/>
        <w:gridCol w:w="1134"/>
        <w:gridCol w:w="1134"/>
        <w:gridCol w:w="1276"/>
        <w:gridCol w:w="1276"/>
      </w:tblGrid>
      <w:tr w:rsidR="00305AA7" w:rsidRPr="00305AA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05AA7" w:rsidRPr="00305AA7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Udziały w podatku dochodowym od osób fizycznych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129"/>
              <w:gridCol w:w="1129"/>
              <w:gridCol w:w="1271"/>
              <w:gridCol w:w="1276"/>
            </w:tblGrid>
            <w:tr w:rsidR="00305AA7" w:rsidRPr="00305AA7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1.105.451</w:t>
                  </w:r>
                </w:p>
              </w:tc>
              <w:tc>
                <w:tcPr>
                  <w:tcW w:w="1129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1.125.349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1.153.482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1.182.319</w:t>
                  </w:r>
                </w:p>
              </w:tc>
            </w:tr>
            <w:tr w:rsidR="00305AA7" w:rsidRPr="00305AA7"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110,54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101,8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102,5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102,5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05AA7" w:rsidRPr="00305AA7">
        <w:trPr>
          <w:trHeight w:val="51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Udziały w podatku dochodowym od osób prawnych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3.208</w:t>
            </w:r>
          </w:p>
        </w:tc>
      </w:tr>
      <w:tr w:rsidR="00305AA7" w:rsidRPr="00305AA7">
        <w:trPr>
          <w:trHeight w:val="283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     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102,5</w:t>
            </w: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Na rok 2016 kwotę dotacji na zadania z zakresu administracji rządowej i dochodów związanych z realizacją zadań z zakresu administracji rządowej przyjęto w wysokości zgodnej z informacją Wojewody Mazowieckiego FCR –I.3111.23.34.2015 z dnia 22.10.2015r.  W roku 2016 wzrost dotacji do roku 2015 o około 3,91%.  Rok 2017 - 2019 utrzymuje się na poziomie wzrostu powyżej  2,27%.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Na lata następne wzrost dotacji na zadania z zakresu administracji rządowej  przewiduje się 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w następującej wysokości: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6"/>
        <w:gridCol w:w="1159"/>
        <w:gridCol w:w="1276"/>
        <w:gridCol w:w="1159"/>
        <w:gridCol w:w="1159"/>
      </w:tblGrid>
      <w:tr w:rsidR="00305AA7" w:rsidRPr="00305AA7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05AA7" w:rsidRPr="00305AA7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Dotacje celowe na zadania z zakresu adm. r.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156"/>
              <w:gridCol w:w="1273"/>
              <w:gridCol w:w="1156"/>
              <w:gridCol w:w="1159"/>
            </w:tblGrid>
            <w:tr w:rsidR="00305AA7" w:rsidRPr="00305AA7">
              <w:tc>
                <w:tcPr>
                  <w:tcW w:w="42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1.987.353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2.023.125</w:t>
                  </w:r>
                </w:p>
              </w:tc>
              <w:tc>
                <w:tcPr>
                  <w:tcW w:w="1156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2.073.703</w:t>
                  </w:r>
                </w:p>
              </w:tc>
              <w:tc>
                <w:tcPr>
                  <w:tcW w:w="1159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2.125.545</w:t>
                  </w:r>
                </w:p>
              </w:tc>
            </w:tr>
            <w:tr w:rsidR="00305AA7" w:rsidRPr="00305AA7"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103,91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101,8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102,5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102,5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305AA7" w:rsidRPr="00305AA7" w:rsidRDefault="00305AA7" w:rsidP="00305A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Times New Roman" w:hAnsi="Times New Roman" w:cs="Times New Roman"/>
          <w:i/>
          <w:iCs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Dotacje na zadania własne</w:t>
      </w:r>
      <w:r w:rsidRPr="00305AA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05AA7">
        <w:rPr>
          <w:rFonts w:ascii="Times New Roman" w:hAnsi="Times New Roman" w:cs="Times New Roman"/>
          <w:sz w:val="20"/>
          <w:szCs w:val="20"/>
        </w:rPr>
        <w:t xml:space="preserve">na rok 2016 przyjęto w wysokości zgodnej z informacją   Wojewody Mazowieckiego, pismo Nr FCR.I.   3111.23.34.2015 z dnia 22.10.2015r                 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Rok 2016 do przewidywanego wykonania za rok 2015 jest spadek o  około 43,9% ponieważ w ciągu roku w/w dotacje bardzo ulegną zwiększeniu (doświadczenia z lat ubiegłych). Na lata następne  wzrost dotacji przewiduje się średnio o około  2,3 %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6"/>
        <w:gridCol w:w="1134"/>
        <w:gridCol w:w="1276"/>
        <w:gridCol w:w="1134"/>
        <w:gridCol w:w="1134"/>
      </w:tblGrid>
      <w:tr w:rsidR="00305AA7" w:rsidRPr="00305AA7"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05AA7" w:rsidRPr="00305AA7"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Dotacje  na zadania własne.</w:t>
            </w:r>
          </w:p>
        </w:tc>
        <w:tc>
          <w:tcPr>
            <w:tcW w:w="5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131"/>
              <w:gridCol w:w="1273"/>
              <w:gridCol w:w="1131"/>
              <w:gridCol w:w="1134"/>
            </w:tblGrid>
            <w:tr w:rsidR="00305AA7" w:rsidRPr="00305AA7">
              <w:tc>
                <w:tcPr>
                  <w:tcW w:w="42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453.600</w:t>
                  </w:r>
                </w:p>
              </w:tc>
              <w:tc>
                <w:tcPr>
                  <w:tcW w:w="127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461.764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473.308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485.140</w:t>
                  </w:r>
                </w:p>
              </w:tc>
            </w:tr>
            <w:tr w:rsidR="00305AA7" w:rsidRPr="00305AA7"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56,1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  <w:vAlign w:val="center"/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101,8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0" w:type="dxa"/>
                  </w:tcMar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102,5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i/>
          <w:iCs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Bazę wyjściową do ustalenia wpływów z podatków i opłat lokalnych są  wpływy podatków w latach poprzednich i uchwalone  stawki na rok 2015,  W 2016 nie  planuje się podwyższenie podatków . Do  budżetu na rok 2016 przyjęto prognozowane wykonanie podatków za 2015 wg .dokumentów księgowych  Największy wpływ z podatków i opłat lokalnych do  budżetu  odnotowano z podatku  rolnego i od nieruchomości. Wpływy z podatków i opłat  kształtowały się na jednakowym poziomie w ostatnich latach gdyż podatki nie były podwyższane ze względu na trudne  nieprzewidziane warunki pogodowe (susza, zatapianie terenów).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</w:rPr>
        <w:t>W roku 2016</w:t>
      </w:r>
      <w:r w:rsidRPr="00305AA7">
        <w:rPr>
          <w:rFonts w:ascii="Times New Roman" w:hAnsi="Times New Roman" w:cs="Times New Roman"/>
          <w:b/>
          <w:bCs/>
        </w:rPr>
        <w:t xml:space="preserve">  </w:t>
      </w:r>
      <w:r w:rsidRPr="00305AA7">
        <w:rPr>
          <w:rFonts w:ascii="Times New Roman" w:hAnsi="Times New Roman" w:cs="Times New Roman"/>
        </w:rPr>
        <w:t>dochody majątkowe zaplanowano w kwocie 320.000,00 zł w tym  pozyskanych od rolników którzy partycypują w kosztach  budowy wodociągu i kanalizacji  w  kwocie 170.000,00  zł oraz ze  sprzedaży  majątku  w  kwocie 150.000 zł. Planuje się wykonanie zakładanych dochodów majątkowych ponieważ już zostały wstępne kroki poczynione w tym zakresie.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</w:rPr>
        <w:lastRenderedPageBreak/>
        <w:t>Biorąc pod uwagę powyższe ustalenia Prognoza  na lata 2016-2019   zakłada dochody w następującej wysokości 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1"/>
        <w:gridCol w:w="2266"/>
        <w:gridCol w:w="613"/>
        <w:gridCol w:w="1275"/>
        <w:gridCol w:w="1372"/>
        <w:gridCol w:w="1417"/>
        <w:gridCol w:w="1560"/>
      </w:tblGrid>
      <w:tr w:rsidR="00305AA7" w:rsidRPr="00305AA7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 P.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Dochody ogółem,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tego: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14.546.000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14.562.068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14.700.000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14.920.000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96,24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100,14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Dochody bieżące,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tego: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14.226.000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14.512.068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14.700.000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14.920.000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99,90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101,50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Udziały w podatku dochodowym od osób fizycznych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1.105.451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1.125.349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1.153.482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1.182.319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102,50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Udziały w podatku dochodowym od osób prawnych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3.208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101,40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Podatki i opłaty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1.189.963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1.238.360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1.269.319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1.301.052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104,31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102,50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Subwencje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8.877.264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9.028.177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9.181.656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9.337.744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110,46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101,70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tytułu dotacji i środków przeznaczonych na cele bieżące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2.440.953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2.484.889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2.547.011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2.610.685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72,87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102,50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Pozostałe dochody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Bieżące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609.369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632.239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645.402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474.992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121,63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Dochody majątkowe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320.000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305AA7" w:rsidRPr="00305AA7">
        <w:trPr>
          <w:trHeight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III. PROGNOZOWANE WYDATKI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Prognoza wydatków oparta została na przewidywanym wykonaniu 2013-2015, która przedstawia się następująco:</w:t>
      </w:r>
    </w:p>
    <w:tbl>
      <w:tblPr>
        <w:tblW w:w="0" w:type="auto"/>
        <w:tblInd w:w="595" w:type="dxa"/>
        <w:tblLayout w:type="fixed"/>
        <w:tblLook w:val="0000" w:firstRow="0" w:lastRow="0" w:firstColumn="0" w:lastColumn="0" w:noHBand="0" w:noVBand="0"/>
      </w:tblPr>
      <w:tblGrid>
        <w:gridCol w:w="534"/>
        <w:gridCol w:w="2127"/>
        <w:gridCol w:w="567"/>
        <w:gridCol w:w="1275"/>
        <w:gridCol w:w="1275"/>
        <w:gridCol w:w="1275"/>
        <w:gridCol w:w="1275"/>
      </w:tblGrid>
      <w:tr w:rsidR="00305AA7" w:rsidRPr="00305A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Treść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Wykonanie za III kw.2015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Przewidywane wyk.za 2015</w:t>
            </w:r>
          </w:p>
        </w:tc>
      </w:tr>
      <w:tr w:rsidR="00305AA7" w:rsidRPr="00305AA7">
        <w:trPr>
          <w:trHeight w:val="242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Wydatki ogółem, z tego: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13.671.045,18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14.823.783,54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10.056.860,43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15.226.277,00</w:t>
            </w:r>
          </w:p>
        </w:tc>
      </w:tr>
      <w:tr w:rsidR="00305AA7" w:rsidRPr="00305AA7">
        <w:tc>
          <w:tcPr>
            <w:tcW w:w="26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104,52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108,43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102,72</w:t>
            </w:r>
          </w:p>
        </w:tc>
      </w:tr>
      <w:tr w:rsidR="00305AA7" w:rsidRPr="00305AA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Wydatki bieżące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w tym: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13.096.604,65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13.392.540,68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9.878.472,17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13.576.682,00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104,85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102,26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101,38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Wynagrodzenia i pochodne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6.991.871,80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7.067.474,48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5.565.906,93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7.621.000,00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103,63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105,01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Dotacje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233.000,00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233.000,00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171.701,90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234.000,00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100,87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Obsługa długu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44.649,06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29.973,68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16.028,65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40.000,00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51,43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67,13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133,45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Pozostałe wydatki bieżące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5.827.083,79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6.062.092,52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4.124.834,69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5.681.682,00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107,04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104,03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93,73</w:t>
            </w:r>
          </w:p>
        </w:tc>
      </w:tr>
      <w:tr w:rsidR="00305AA7" w:rsidRPr="00305AA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Wydatki majątkowe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572.440,53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1.431.242,86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178.388,26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1.649.595,00</w:t>
            </w:r>
          </w:p>
        </w:tc>
      </w:tr>
      <w:tr w:rsidR="00305AA7" w:rsidRPr="00305AA7">
        <w:tc>
          <w:tcPr>
            <w:tcW w:w="5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97,13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250,02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115,26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Times New Roman" w:hAnsi="Times New Roman" w:cs="Times New Roman"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</w:rPr>
        <w:t xml:space="preserve">       </w:t>
      </w:r>
      <w:r w:rsidRPr="00305AA7">
        <w:rPr>
          <w:rFonts w:ascii="Times New Roman" w:hAnsi="Times New Roman" w:cs="Times New Roman"/>
          <w:sz w:val="20"/>
          <w:szCs w:val="20"/>
        </w:rPr>
        <w:t xml:space="preserve"> Wydatki kalkulowano przy uwzględnieniu możliwości dochodowych, jednak z uwzględnieniem analizy zadań bieżących koniecznych do realizacji oraz obligatoryjności wynikającej z przepisów obowiązującego prawa.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Prognozę oparto na założeniu określonym w art. 242, ust. 2 ustawy o finansach publicznych, polegającym na zachowaniu relacji, iż planowane wydatki bieżące nie mogą przewyższać dochodów bieżących.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    Na 2016 rok wydatki ogółem zaplanowano w kwocie 14.546.000,00zł, w tym bieżące 13.746.000,00zł i majątkowe w 800.000,00zł.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Calibri" w:hAnsi="Calibri" w:cs="Calibri"/>
          <w:i/>
          <w:iCs/>
          <w:sz w:val="20"/>
          <w:szCs w:val="20"/>
        </w:rPr>
        <w:t xml:space="preserve">        </w:t>
      </w:r>
      <w:r w:rsidRPr="00305AA7">
        <w:rPr>
          <w:rFonts w:ascii="Times New Roman" w:hAnsi="Times New Roman" w:cs="Times New Roman"/>
          <w:sz w:val="20"/>
          <w:szCs w:val="20"/>
        </w:rPr>
        <w:t xml:space="preserve">Wydatki na wynagrodzenia i pochodne od nich naliczane ustalono na poziomie zawartych umów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o pracę na koniec 2015 roku. Na wydatki na wynagrodzenia i pochodne od wynagrodzeń dla nauczycieli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i pracowników Urzędu  założono  wzrost  o  kwotę  nagród  jubileuszowych, dodatku  stażowego 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i  odpraw  emerytalnych, których w roku 2016 będzie więcej . Wydatki  związane  z  funkcjonowaniem  organów  Gminy  pozostają  na  tym  samym  poziomie.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    Zakup towarów i usług (centralne ogrzewanie, energia elektryczna, woda, kanalizacja i pozostałe) na poziomie przewidywanego wykonania za 2015r z uwzględnieniem wzrostu cen o 1.7% , oraz na wydatki rzeczowe</w:t>
      </w:r>
      <w:r w:rsidRPr="00305A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05AA7">
        <w:rPr>
          <w:rFonts w:ascii="Times New Roman" w:hAnsi="Times New Roman" w:cs="Times New Roman"/>
          <w:sz w:val="20"/>
          <w:szCs w:val="20"/>
        </w:rPr>
        <w:t xml:space="preserve">na podstawie zweryfikowanych kalkulacji wydatków zaproponowanych przez jednostki budżetowe.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  <w:i/>
          <w:iCs/>
        </w:rPr>
        <w:t xml:space="preserve">     </w:t>
      </w:r>
      <w:r w:rsidRPr="00305AA7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05AA7">
        <w:rPr>
          <w:rFonts w:ascii="Times New Roman" w:hAnsi="Times New Roman" w:cs="Times New Roman"/>
          <w:sz w:val="20"/>
          <w:szCs w:val="20"/>
        </w:rPr>
        <w:t>Kwoty dotacji udzielonych z budżetu przyjęto na podstawie zawartych umów z jednostkami samorządu terytorialnego jak również zaplanowano dotacje dla podmiotów spoza sektora finansów publicznych na realizację zadań własnych Gminy.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305AA7">
        <w:rPr>
          <w:rFonts w:ascii="Times New Roman" w:hAnsi="Times New Roman" w:cs="Times New Roman"/>
          <w:i/>
          <w:iCs/>
        </w:rPr>
        <w:t xml:space="preserve">     </w:t>
      </w:r>
      <w:r w:rsidRPr="00305AA7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05AA7">
        <w:rPr>
          <w:rFonts w:ascii="Times New Roman" w:hAnsi="Times New Roman" w:cs="Times New Roman"/>
          <w:sz w:val="20"/>
          <w:szCs w:val="20"/>
        </w:rPr>
        <w:t>Wyda</w:t>
      </w:r>
      <w:r w:rsidRPr="00305AA7">
        <w:rPr>
          <w:rFonts w:ascii="Times New Roman" w:hAnsi="Times New Roman" w:cs="Times New Roman"/>
        </w:rPr>
        <w:t xml:space="preserve">tki na obsługę długu zaplanowano na podstawie harmonogramów spłat zaciągniętych kredytów i pożyczek.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Wydatki  majątkowe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Wydatki majątkowe na rok 2016  zaplanowano w kwocie  800.000,00 zł na: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1/ Budowa sieci wodociągowej rozdzielczej z przyłączami w miejsc owości Wólka Gonciarska,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Kowalków Kolonia, Kowalków Wieś, Borów, Dębniak, Ruda gm. Kazanów w ramach inwestycji  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„Wodociąg-Wólka Gonciarska” II etap Kowalków Wieś. 285.000 zł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1/  Modernizacja sieci wodociągowej w miejscowości  Ranachów 65.000zł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2/  Przebudowa -modernizacja drogi gminnej G-6 Nr 450106W w m. Niedarczów Górny Kolonia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 i      Niedarczów Dolny Kolonia 150.000zł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3/  Przebudowa -modernizacja  drogi gminnejDG-20 Nr 450120W w miejscowości Zakrzówek Wieś  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lastRenderedPageBreak/>
        <w:t xml:space="preserve">     100.000 zł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4/  Przebudowa -modernizacja  drogi gminnejDG-19.1 Nr 450119W w miejscowości Zakrzówek Kolonia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 100.000 zł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5/  Przebudowa -modernizacja  drogi gminnejDG-19.2 Nr 450119W w miejscowości Kroczów Większy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    100.000 zł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W/w zadania są zadaniami rocznymi  finansowanymi środkami własnymi i ujęte  są  w  załączniku  tj. tabeli  Nr 3  do  projektu budżetu na rok 2016.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i/>
          <w:iCs/>
          <w:sz w:val="20"/>
          <w:szCs w:val="20"/>
        </w:rPr>
        <w:t>Biorąc pod uwagę powyższe ustalenia wydatki na lata 2016-2019 przewiduje się w następującej</w:t>
      </w:r>
      <w:r w:rsidRPr="00305AA7">
        <w:rPr>
          <w:rFonts w:ascii="Times New Roman" w:hAnsi="Times New Roman" w:cs="Times New Roman"/>
          <w:sz w:val="20"/>
          <w:szCs w:val="20"/>
        </w:rPr>
        <w:t xml:space="preserve"> wysokości :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42"/>
        <w:gridCol w:w="1559"/>
        <w:gridCol w:w="567"/>
        <w:gridCol w:w="1560"/>
        <w:gridCol w:w="1417"/>
        <w:gridCol w:w="1418"/>
        <w:gridCol w:w="1418"/>
      </w:tblGrid>
      <w:tr w:rsidR="00305AA7" w:rsidRPr="00305AA7"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05AA7" w:rsidRPr="00305AA7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Wydatki ogółem ,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 tego :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557"/>
              <w:gridCol w:w="1414"/>
              <w:gridCol w:w="1415"/>
              <w:gridCol w:w="1418"/>
            </w:tblGrid>
            <w:tr w:rsidR="00305AA7" w:rsidRPr="00305AA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14.546.000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14.227.599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14.441.260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14.728.000</w:t>
                  </w:r>
                </w:p>
              </w:tc>
            </w:tr>
            <w:tr w:rsidR="00305AA7" w:rsidRPr="00305AA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93,32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97,82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101,51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101,99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AA7" w:rsidRPr="00305AA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Wydatki bieżące,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w tym :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557"/>
              <w:gridCol w:w="1414"/>
              <w:gridCol w:w="1415"/>
              <w:gridCol w:w="1418"/>
            </w:tblGrid>
            <w:tr w:rsidR="00305AA7" w:rsidRPr="00305AA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13.746.000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14.027.599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14.241.260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14.528.000</w:t>
                  </w:r>
                </w:p>
              </w:tc>
            </w:tr>
            <w:tr w:rsidR="00305AA7" w:rsidRPr="00305AA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98,62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102,05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101,53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102,02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AA7" w:rsidRPr="00305AA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6374"/>
            </w:tblGrid>
            <w:tr w:rsidR="00305AA7" w:rsidRPr="00305AA7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Wynagrodzenia</w:t>
                  </w:r>
                </w:p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i  pochodne</w:t>
                  </w:r>
                </w:p>
              </w:tc>
              <w:tc>
                <w:tcPr>
                  <w:tcW w:w="6374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5"/>
                    <w:gridCol w:w="1558"/>
                    <w:gridCol w:w="1415"/>
                    <w:gridCol w:w="1418"/>
                    <w:gridCol w:w="1418"/>
                  </w:tblGrid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zł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7.770.052 w tym odprawy i nagrody jub. 252.000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8.085.715 w tym odprawy i nagrody jub. 365.000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8.210.000 w tym odprawy i nagrody jub. 203.000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8.300.000  w tym odprawy i nagrody </w:t>
                        </w:r>
                        <w:proofErr w:type="spellStart"/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jub</w:t>
                        </w:r>
                        <w:proofErr w:type="spellEnd"/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220.000</w:t>
                        </w:r>
                      </w:p>
                    </w:tc>
                  </w:tr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%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101.96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104,07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101,54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101,1</w:t>
                        </w:r>
                      </w:p>
                    </w:tc>
                  </w:tr>
                </w:tbl>
                <w:p w:rsidR="00305AA7" w:rsidRPr="00305AA7" w:rsidRDefault="00305AA7" w:rsidP="00305A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305AA7" w:rsidRPr="00305AA7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Dotacje</w:t>
                  </w:r>
                </w:p>
              </w:tc>
              <w:tc>
                <w:tcPr>
                  <w:tcW w:w="6374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5"/>
                    <w:gridCol w:w="1558"/>
                    <w:gridCol w:w="1415"/>
                    <w:gridCol w:w="1418"/>
                    <w:gridCol w:w="1418"/>
                  </w:tblGrid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zł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224.000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220.000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220.000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220.000</w:t>
                        </w:r>
                      </w:p>
                    </w:tc>
                  </w:tr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%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95,73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98,22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</w:tr>
                </w:tbl>
                <w:p w:rsidR="00305AA7" w:rsidRPr="00305AA7" w:rsidRDefault="00305AA7" w:rsidP="00305A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305AA7" w:rsidRPr="00305AA7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Obsługa długu</w:t>
                  </w:r>
                </w:p>
              </w:tc>
              <w:tc>
                <w:tcPr>
                  <w:tcW w:w="6374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5"/>
                    <w:gridCol w:w="1558"/>
                    <w:gridCol w:w="1415"/>
                    <w:gridCol w:w="1418"/>
                    <w:gridCol w:w="1418"/>
                  </w:tblGrid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zł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40.000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15.000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8.000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3.000</w:t>
                        </w:r>
                      </w:p>
                    </w:tc>
                  </w:tr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%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100,00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37,50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53,34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37,50</w:t>
                        </w:r>
                      </w:p>
                    </w:tc>
                  </w:tr>
                </w:tbl>
                <w:p w:rsidR="00305AA7" w:rsidRPr="00305AA7" w:rsidRDefault="00305AA7" w:rsidP="00305A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305AA7" w:rsidRPr="00305AA7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Pozostałe wydatki</w:t>
                  </w:r>
                </w:p>
              </w:tc>
              <w:tc>
                <w:tcPr>
                  <w:tcW w:w="6374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5"/>
                    <w:gridCol w:w="1558"/>
                    <w:gridCol w:w="1415"/>
                    <w:gridCol w:w="1418"/>
                    <w:gridCol w:w="1418"/>
                  </w:tblGrid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zł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5.711.948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5.706.884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5.803.260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6.005.000</w:t>
                        </w:r>
                      </w:p>
                    </w:tc>
                  </w:tr>
                  <w:tr w:rsidR="00305AA7" w:rsidRPr="00305AA7"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  <w:tab w:val="left" w:pos="9912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%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94,51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99,92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101,69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05AA7" w:rsidRPr="00305AA7" w:rsidRDefault="00305AA7" w:rsidP="00305AA7">
                        <w:pPr>
                          <w:tabs>
                            <w:tab w:val="left" w:pos="284"/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autoSpaceDE w:val="0"/>
                          <w:autoSpaceDN w:val="0"/>
                          <w:adjustRightInd w:val="0"/>
                          <w:spacing w:after="200" w:line="276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305AA7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103,48</w:t>
                        </w:r>
                      </w:p>
                    </w:tc>
                  </w:tr>
                </w:tbl>
                <w:p w:rsidR="00305AA7" w:rsidRPr="00305AA7" w:rsidRDefault="00305AA7" w:rsidP="00305A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AA7" w:rsidRPr="00305AA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Wydatki majątkowe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1557"/>
              <w:gridCol w:w="1414"/>
              <w:gridCol w:w="1415"/>
              <w:gridCol w:w="1418"/>
            </w:tblGrid>
            <w:tr w:rsidR="00305AA7" w:rsidRPr="00305AA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800.000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200.000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200.000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200.000</w:t>
                  </w:r>
                </w:p>
              </w:tc>
            </w:tr>
            <w:tr w:rsidR="00305AA7" w:rsidRPr="00305AA7"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48,50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25,00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100,00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5AA7">
        <w:rPr>
          <w:rFonts w:ascii="Times New Roman" w:hAnsi="Times New Roman" w:cs="Times New Roman"/>
          <w:b/>
          <w:bCs/>
          <w:sz w:val="20"/>
          <w:szCs w:val="20"/>
        </w:rPr>
        <w:t>IV. PROGNOZOWANE PRZYCHODY I ROZCHODY BUDŻETU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Rozchody budżetu w roku 2016 wyniosą  411.290 zł i dotyczą pożyczek zaciągniętych w latach poprzednich w  </w:t>
      </w:r>
      <w:proofErr w:type="spellStart"/>
      <w:r w:rsidRPr="00305AA7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305AA7">
        <w:rPr>
          <w:rFonts w:ascii="Times New Roman" w:hAnsi="Times New Roman" w:cs="Times New Roman"/>
          <w:sz w:val="20"/>
          <w:szCs w:val="20"/>
        </w:rPr>
        <w:t xml:space="preserve">.  Prognozowane rozchody wynikają z harmonogramów do zawartych umów pożyczek.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Wielkości przychodów i rozchodów z uwzględnieniem długu Gminy przedstawia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poniższe zestawienie: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"/>
        <w:gridCol w:w="372"/>
        <w:gridCol w:w="19"/>
        <w:gridCol w:w="1735"/>
        <w:gridCol w:w="567"/>
        <w:gridCol w:w="1418"/>
        <w:gridCol w:w="1134"/>
        <w:gridCol w:w="1275"/>
        <w:gridCol w:w="1275"/>
      </w:tblGrid>
      <w:tr w:rsidR="00305AA7" w:rsidRPr="00305AA7">
        <w:trPr>
          <w:gridBefore w:val="1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05AA7" w:rsidRPr="00305AA7">
        <w:trPr>
          <w:gridBefore w:val="1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Dochody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14.546.000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14.562.068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14.700.000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14.920.000</w:t>
            </w:r>
          </w:p>
        </w:tc>
      </w:tr>
      <w:tr w:rsidR="00305AA7" w:rsidRPr="00305AA7">
        <w:trPr>
          <w:gridBefore w:val="1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Wydatki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14.546.000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14.227.599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14.441.260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14.728.000</w:t>
            </w:r>
          </w:p>
        </w:tc>
      </w:tr>
      <w:tr w:rsidR="00305AA7" w:rsidRPr="00305AA7">
        <w:trPr>
          <w:gridBefore w:val="1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Wynik budżetu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334.469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258.740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192.000</w:t>
            </w:r>
          </w:p>
        </w:tc>
      </w:tr>
      <w:tr w:rsidR="00305AA7" w:rsidRPr="00305AA7">
        <w:trPr>
          <w:gridBefore w:val="1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Przychody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05AA7" w:rsidRPr="00305AA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2"/>
              <w:gridCol w:w="565"/>
              <w:gridCol w:w="1416"/>
              <w:gridCol w:w="1132"/>
              <w:gridCol w:w="1273"/>
              <w:gridCol w:w="1275"/>
            </w:tblGrid>
            <w:tr w:rsidR="00305AA7" w:rsidRPr="00305AA7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Kredyty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305AA7" w:rsidRPr="00305AA7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Pożyczki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305AA7" w:rsidRPr="00305AA7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Wolne środki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411.290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305AA7" w:rsidRPr="00305AA7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Nadwyżka budżetowa z lat poprzednich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05AA7" w:rsidRPr="00305AA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Rozchody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411.290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334.469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258.740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AA7">
              <w:rPr>
                <w:rFonts w:ascii="Times New Roman" w:hAnsi="Times New Roman" w:cs="Times New Roman"/>
                <w:sz w:val="14"/>
                <w:szCs w:val="14"/>
              </w:rPr>
              <w:t>192.000</w:t>
            </w:r>
          </w:p>
        </w:tc>
      </w:tr>
      <w:tr w:rsidR="00305AA7" w:rsidRPr="00305AA7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276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52"/>
              <w:gridCol w:w="565"/>
              <w:gridCol w:w="1416"/>
              <w:gridCol w:w="1132"/>
              <w:gridCol w:w="1273"/>
              <w:gridCol w:w="1275"/>
            </w:tblGrid>
            <w:tr w:rsidR="00305AA7" w:rsidRPr="00305AA7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Kredyty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  <w:tr w:rsidR="00305AA7" w:rsidRPr="00305AA7"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Pożyczki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Zł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AA7" w:rsidRPr="00305AA7" w:rsidRDefault="00305AA7" w:rsidP="00305AA7">
                  <w:pPr>
                    <w:tabs>
                      <w:tab w:val="left" w:pos="28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284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305AA7">
                    <w:rPr>
                      <w:rFonts w:ascii="Times New Roman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305AA7" w:rsidRPr="00305AA7" w:rsidRDefault="00305AA7" w:rsidP="0030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  <w:b/>
          <w:bCs/>
        </w:rPr>
        <w:t>V. PROGNOZA DŁUGU</w:t>
      </w:r>
      <w:r w:rsidRPr="00305AA7">
        <w:rPr>
          <w:rFonts w:ascii="Times New Roman" w:hAnsi="Times New Roman" w:cs="Times New Roman"/>
        </w:rPr>
        <w:t xml:space="preserve">              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305AA7">
        <w:rPr>
          <w:rFonts w:ascii="Times New Roman" w:hAnsi="Times New Roman" w:cs="Times New Roman"/>
        </w:rPr>
        <w:t>Objęte prognozą lata 2016-2019r  wskaźnik spłaty zadłużenia ustalony wg art. 243 ustawy z dnia 27 sierpnia 2009r o finansach publicznych przedstawia się następująco:</w:t>
      </w: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1070"/>
        <w:gridCol w:w="653"/>
        <w:gridCol w:w="1395"/>
        <w:gridCol w:w="1560"/>
        <w:gridCol w:w="1560"/>
        <w:gridCol w:w="1560"/>
      </w:tblGrid>
      <w:tr w:rsidR="00305AA7" w:rsidRPr="00305AA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Lata objęte zadłużeniem</w:t>
            </w: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J.m</w:t>
            </w:r>
            <w:proofErr w:type="spellEnd"/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Prognozowany indywidualny wskaźnik zadłużenia bez uwzględnienia ustawowych </w:t>
            </w:r>
            <w:proofErr w:type="spellStart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wyłączeń</w:t>
            </w:r>
            <w:proofErr w:type="spellEnd"/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Prognozowany indywidualny wskaźnik zadłużenia po uwzględnieniu ustawowych </w:t>
            </w:r>
            <w:proofErr w:type="spellStart"/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wyłączeń</w:t>
            </w:r>
            <w:proofErr w:type="spellEnd"/>
          </w:p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Dopuszczalny maksymalny wskaźnik   zadłużenia wyliczony wg art.243 obliczony w oparciu o plan 3 kwartałów roku poprzedzającego o rok budżetowy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Dopuszczalny maksymalny wskaźnik zadłużenia wyliczony wg art.243 obliczony w oparciu o wykonanie roku poprzedzającego o rok budżetowy</w:t>
            </w:r>
          </w:p>
        </w:tc>
      </w:tr>
      <w:tr w:rsidR="00305AA7" w:rsidRPr="00305AA7">
        <w:trPr>
          <w:trHeight w:val="2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5,99</w:t>
            </w:r>
          </w:p>
        </w:tc>
      </w:tr>
      <w:tr w:rsidR="00305AA7" w:rsidRPr="00305AA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4,96</w:t>
            </w:r>
          </w:p>
        </w:tc>
      </w:tr>
      <w:tr w:rsidR="00305AA7" w:rsidRPr="00305AA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</w:tr>
      <w:tr w:rsidR="00305AA7" w:rsidRPr="00305AA7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7" w:rsidRPr="00305AA7" w:rsidRDefault="00305AA7" w:rsidP="00305A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AA7">
              <w:rPr>
                <w:rFonts w:ascii="Times New Roman" w:hAnsi="Times New Roman" w:cs="Times New Roman"/>
                <w:sz w:val="16"/>
                <w:szCs w:val="16"/>
              </w:rPr>
              <w:t>3,71</w:t>
            </w:r>
          </w:p>
        </w:tc>
      </w:tr>
    </w:tbl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>Jak wynika z powyższych danych planowany indywidualny wskaźnik spłaty zadłużenia kształtuje się poniżej dopuszczalnego wskaźnika poziomu określonego w w/w przepisie.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 W latach 2016-2019 nie planuje się zaciągania  kredytów, tak więc w planowanym poziomie zadłużenia na koniec poszczególnych lat uwzględniono jedynie spłaty rat kredytów wynikające z harmonogramów spłat zawartych w umowach kredytowych.</w:t>
      </w:r>
    </w:p>
    <w:p w:rsidR="00305AA7" w:rsidRPr="00305AA7" w:rsidRDefault="00305AA7" w:rsidP="00305A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AA7">
        <w:rPr>
          <w:rFonts w:ascii="Times New Roman" w:hAnsi="Times New Roman" w:cs="Times New Roman"/>
          <w:sz w:val="20"/>
          <w:szCs w:val="20"/>
        </w:rPr>
        <w:t xml:space="preserve">Na  rok 2016  do Wieloletniej Prognozy Finansowej gmina nie dokańcza  załącznika o realizacji  przedsięwzięć z uwagi,  iż nie posiada żadnej umowy podpisanej kwalifikującej się do przedsięwzięć. </w:t>
      </w:r>
    </w:p>
    <w:p w:rsidR="00305AA7" w:rsidRPr="00305AA7" w:rsidRDefault="00305AA7" w:rsidP="00305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AA7" w:rsidRPr="00305AA7" w:rsidRDefault="00305AA7" w:rsidP="00305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</w:r>
      <w:r w:rsidRPr="00305AA7">
        <w:rPr>
          <w:rFonts w:ascii="Times New Roman" w:hAnsi="Times New Roman" w:cs="Times New Roman"/>
          <w:sz w:val="20"/>
          <w:szCs w:val="20"/>
        </w:rPr>
        <w:tab/>
        <w:t>Przewodniczący Rady</w:t>
      </w:r>
    </w:p>
    <w:p w:rsidR="00305AA7" w:rsidRPr="00305AA7" w:rsidRDefault="00305AA7" w:rsidP="00305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AA7" w:rsidRPr="00305AA7" w:rsidRDefault="00305AA7" w:rsidP="00305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</w:r>
      <w:r w:rsidRPr="00305AA7">
        <w:rPr>
          <w:rFonts w:ascii="Times New Roman" w:hAnsi="Times New Roman" w:cs="Times New Roman"/>
          <w:sz w:val="24"/>
          <w:szCs w:val="24"/>
        </w:rPr>
        <w:tab/>
        <w:t>Jamka  Paweł</w:t>
      </w:r>
    </w:p>
    <w:p w:rsidR="00305AA7" w:rsidRPr="00305AA7" w:rsidRDefault="00305AA7" w:rsidP="00305A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AA7" w:rsidRPr="00305AA7" w:rsidRDefault="00305AA7" w:rsidP="00305A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2BA" w:rsidRPr="00305AA7" w:rsidRDefault="00FD62BA" w:rsidP="00305AA7">
      <w:bookmarkStart w:id="0" w:name="_GoBack"/>
      <w:bookmarkEnd w:id="0"/>
    </w:p>
    <w:sectPr w:rsidR="00FD62BA" w:rsidRPr="00305AA7" w:rsidSect="00B15F0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A7"/>
    <w:rsid w:val="00305AA7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92C5-655A-474B-B223-53FF7F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05A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JG1</dc:creator>
  <cp:keywords/>
  <dc:description/>
  <cp:lastModifiedBy>JG1</cp:lastModifiedBy>
  <cp:revision>1</cp:revision>
  <dcterms:created xsi:type="dcterms:W3CDTF">2016-01-28T11:19:00Z</dcterms:created>
  <dcterms:modified xsi:type="dcterms:W3CDTF">2016-01-28T11:19:00Z</dcterms:modified>
</cp:coreProperties>
</file>